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BFFF3" w14:textId="77777777" w:rsidR="00596311" w:rsidRPr="00764C1F" w:rsidRDefault="00596311" w:rsidP="00596311">
      <w:pPr>
        <w:rPr>
          <w:b/>
          <w:bCs/>
        </w:rPr>
      </w:pPr>
      <w:r w:rsidRPr="00764C1F">
        <w:rPr>
          <w:b/>
          <w:bCs/>
        </w:rPr>
        <w:t>Sales Quote, Evaluation Fee, and Scrap Policy (SOP)</w:t>
      </w:r>
    </w:p>
    <w:p w14:paraId="0E170551" w14:textId="77777777" w:rsidR="00596311" w:rsidRPr="00764C1F" w:rsidRDefault="00596311" w:rsidP="00596311">
      <w:r w:rsidRPr="00764C1F">
        <w:rPr>
          <w:b/>
          <w:bCs/>
        </w:rPr>
        <w:t>Status:</w:t>
      </w:r>
      <w:r w:rsidRPr="00764C1F">
        <w:t xml:space="preserve"> Draft – Confidential and Trade Secret</w:t>
      </w:r>
    </w:p>
    <w:p w14:paraId="2433A79B" w14:textId="77777777" w:rsidR="00596311" w:rsidRPr="00764C1F" w:rsidRDefault="00596311" w:rsidP="00596311">
      <w:pPr>
        <w:rPr>
          <w:b/>
          <w:bCs/>
        </w:rPr>
      </w:pPr>
      <w:r w:rsidRPr="00764C1F">
        <w:rPr>
          <w:b/>
          <w:bCs/>
        </w:rPr>
        <w:t>1. Purpose</w:t>
      </w:r>
    </w:p>
    <w:p w14:paraId="6CB19B1B" w14:textId="77777777" w:rsidR="00596311" w:rsidRPr="00764C1F" w:rsidRDefault="00596311" w:rsidP="00596311">
      <w:r w:rsidRPr="00764C1F">
        <w:t>To ensure consistent, efficient, and accountable handling of customer quotes, evaluations, and repair decisions while minimizing backlog, wasted resources, and compliance risks.</w:t>
      </w:r>
    </w:p>
    <w:p w14:paraId="749844AE" w14:textId="77777777" w:rsidR="00596311" w:rsidRPr="00764C1F" w:rsidRDefault="00596311" w:rsidP="00596311">
      <w:pPr>
        <w:rPr>
          <w:b/>
          <w:bCs/>
        </w:rPr>
      </w:pPr>
      <w:r w:rsidRPr="00764C1F">
        <w:rPr>
          <w:b/>
          <w:bCs/>
        </w:rPr>
        <w:t>2. Scope</w:t>
      </w:r>
    </w:p>
    <w:p w14:paraId="108FBA61" w14:textId="77777777" w:rsidR="00596311" w:rsidRPr="00764C1F" w:rsidRDefault="00596311" w:rsidP="00596311">
      <w:r w:rsidRPr="00764C1F">
        <w:t xml:space="preserve">This policy applies to all </w:t>
      </w:r>
      <w:r w:rsidRPr="00764C1F">
        <w:rPr>
          <w:b/>
          <w:bCs/>
        </w:rPr>
        <w:t>Account Managers</w:t>
      </w:r>
      <w:r w:rsidRPr="00764C1F">
        <w:t xml:space="preserve"> (formerly Sales Team Members and Customer Service Representatives) who manage customer quotes, approvals, evaluations, and return/scrap decisions within the </w:t>
      </w:r>
      <w:r w:rsidRPr="00764C1F">
        <w:rPr>
          <w:b/>
          <w:bCs/>
        </w:rPr>
        <w:t>MRO Repair Station</w:t>
      </w:r>
      <w:r w:rsidRPr="00764C1F">
        <w:t>.</w:t>
      </w:r>
    </w:p>
    <w:p w14:paraId="74EDD5C1" w14:textId="77777777" w:rsidR="00596311" w:rsidRPr="00764C1F" w:rsidRDefault="00000000" w:rsidP="00596311">
      <w:r>
        <w:pict w14:anchorId="22C91785">
          <v:rect id="_x0000_i1025" style="width:0;height:1.5pt" o:hralign="center" o:hrstd="t" o:hr="t" fillcolor="#a0a0a0" stroked="f"/>
        </w:pict>
      </w:r>
    </w:p>
    <w:p w14:paraId="632E47FE" w14:textId="77777777" w:rsidR="00596311" w:rsidRPr="00764C1F" w:rsidRDefault="00596311" w:rsidP="00596311">
      <w:pPr>
        <w:rPr>
          <w:b/>
          <w:bCs/>
        </w:rPr>
      </w:pPr>
      <w:r w:rsidRPr="00764C1F">
        <w:rPr>
          <w:b/>
          <w:bCs/>
        </w:rPr>
        <w:t>3. Quote Cycle Process</w:t>
      </w:r>
    </w:p>
    <w:p w14:paraId="018CD749" w14:textId="77777777" w:rsidR="00596311" w:rsidRPr="00764C1F" w:rsidRDefault="00596311" w:rsidP="00596311">
      <w:pPr>
        <w:rPr>
          <w:b/>
          <w:bCs/>
        </w:rPr>
      </w:pPr>
      <w:r w:rsidRPr="00764C1F">
        <w:rPr>
          <w:b/>
          <w:bCs/>
        </w:rPr>
        <w:t>3.1 Quote Creation</w:t>
      </w:r>
    </w:p>
    <w:p w14:paraId="132BB03D" w14:textId="77777777" w:rsidR="00596311" w:rsidRPr="00764C1F" w:rsidRDefault="00596311" w:rsidP="00596311">
      <w:r w:rsidRPr="00764C1F">
        <w:t>Each quote must include:</w:t>
      </w:r>
    </w:p>
    <w:p w14:paraId="0E14C7CA" w14:textId="77777777" w:rsidR="00596311" w:rsidRPr="00764C1F" w:rsidRDefault="00596311" w:rsidP="00596311">
      <w:pPr>
        <w:numPr>
          <w:ilvl w:val="0"/>
          <w:numId w:val="1"/>
        </w:numPr>
      </w:pPr>
      <w:r w:rsidRPr="00764C1F">
        <w:rPr>
          <w:b/>
          <w:bCs/>
        </w:rPr>
        <w:t>Validity Period:</w:t>
      </w:r>
      <w:r w:rsidRPr="00764C1F">
        <w:t xml:space="preserve"> </w:t>
      </w:r>
      <w:r>
        <w:t>90</w:t>
      </w:r>
      <w:r w:rsidRPr="00764C1F">
        <w:t xml:space="preserve"> days</w:t>
      </w:r>
    </w:p>
    <w:p w14:paraId="4E415521" w14:textId="77777777" w:rsidR="00596311" w:rsidRPr="00764C1F" w:rsidRDefault="00596311" w:rsidP="00596311">
      <w:pPr>
        <w:numPr>
          <w:ilvl w:val="0"/>
          <w:numId w:val="1"/>
        </w:numPr>
      </w:pPr>
      <w:r w:rsidRPr="00764C1F">
        <w:rPr>
          <w:b/>
          <w:bCs/>
        </w:rPr>
        <w:t>Pricing, scope of work, and standard terms and conditions</w:t>
      </w:r>
    </w:p>
    <w:p w14:paraId="3B6BB2C9" w14:textId="77777777" w:rsidR="00596311" w:rsidRPr="00764C1F" w:rsidRDefault="00596311" w:rsidP="00596311">
      <w:pPr>
        <w:rPr>
          <w:b/>
          <w:bCs/>
        </w:rPr>
      </w:pPr>
      <w:r w:rsidRPr="00764C1F">
        <w:rPr>
          <w:b/>
          <w:bCs/>
        </w:rPr>
        <w:t>3.2 Follow-Up Schedule</w:t>
      </w:r>
    </w:p>
    <w:tbl>
      <w:tblPr>
        <w:tblW w:w="104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1620"/>
        <w:gridCol w:w="5882"/>
      </w:tblGrid>
      <w:tr w:rsidR="00596311" w:rsidRPr="00764C1F" w14:paraId="2ADEBDB7" w14:textId="77777777" w:rsidTr="00C91570">
        <w:trPr>
          <w:tblHeader/>
          <w:tblCellSpacing w:w="15" w:type="dxa"/>
        </w:trPr>
        <w:tc>
          <w:tcPr>
            <w:tcW w:w="2925" w:type="dxa"/>
            <w:vAlign w:val="center"/>
            <w:hideMark/>
          </w:tcPr>
          <w:p w14:paraId="2DB69872" w14:textId="77777777" w:rsidR="00596311" w:rsidRPr="00764C1F" w:rsidRDefault="00596311" w:rsidP="00C91570">
            <w:pPr>
              <w:rPr>
                <w:b/>
                <w:bCs/>
              </w:rPr>
            </w:pPr>
            <w:r w:rsidRPr="00764C1F">
              <w:rPr>
                <w:b/>
                <w:bCs/>
              </w:rPr>
              <w:t>Timeline</w:t>
            </w:r>
          </w:p>
        </w:tc>
        <w:tc>
          <w:tcPr>
            <w:tcW w:w="1590" w:type="dxa"/>
            <w:vAlign w:val="center"/>
            <w:hideMark/>
          </w:tcPr>
          <w:p w14:paraId="51031592" w14:textId="77777777" w:rsidR="00596311" w:rsidRPr="00764C1F" w:rsidRDefault="00596311" w:rsidP="00C91570">
            <w:pPr>
              <w:rPr>
                <w:b/>
                <w:bCs/>
              </w:rPr>
            </w:pPr>
            <w:r w:rsidRPr="00764C1F">
              <w:rPr>
                <w:b/>
                <w:bCs/>
              </w:rPr>
              <w:t>Action</w:t>
            </w:r>
          </w:p>
        </w:tc>
        <w:tc>
          <w:tcPr>
            <w:tcW w:w="0" w:type="auto"/>
            <w:vAlign w:val="center"/>
            <w:hideMark/>
          </w:tcPr>
          <w:p w14:paraId="7E5F58CD" w14:textId="77777777" w:rsidR="00596311" w:rsidRPr="00764C1F" w:rsidRDefault="00596311" w:rsidP="00C91570">
            <w:pPr>
              <w:rPr>
                <w:b/>
                <w:bCs/>
              </w:rPr>
            </w:pPr>
            <w:r w:rsidRPr="00764C1F">
              <w:rPr>
                <w:b/>
                <w:bCs/>
              </w:rPr>
              <w:t>Communication Example</w:t>
            </w:r>
          </w:p>
        </w:tc>
      </w:tr>
      <w:tr w:rsidR="00596311" w:rsidRPr="00764C1F" w14:paraId="61F6D958" w14:textId="77777777" w:rsidTr="00C91570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3E20D818" w14:textId="77777777" w:rsidR="00596311" w:rsidRPr="00764C1F" w:rsidRDefault="00596311" w:rsidP="00C91570">
            <w:r w:rsidRPr="00764C1F">
              <w:rPr>
                <w:b/>
                <w:bCs/>
              </w:rPr>
              <w:t>Day 0 – Quote Sent</w:t>
            </w:r>
          </w:p>
        </w:tc>
        <w:tc>
          <w:tcPr>
            <w:tcW w:w="1590" w:type="dxa"/>
            <w:vAlign w:val="center"/>
            <w:hideMark/>
          </w:tcPr>
          <w:p w14:paraId="0D0ED68E" w14:textId="77777777" w:rsidR="00596311" w:rsidRPr="00764C1F" w:rsidRDefault="00596311" w:rsidP="00C91570">
            <w:r w:rsidRPr="00764C1F">
              <w:t>Send quote</w:t>
            </w:r>
          </w:p>
        </w:tc>
        <w:tc>
          <w:tcPr>
            <w:tcW w:w="0" w:type="auto"/>
            <w:vAlign w:val="center"/>
            <w:hideMark/>
          </w:tcPr>
          <w:p w14:paraId="0D49C428" w14:textId="77777777" w:rsidR="00596311" w:rsidRPr="00764C1F" w:rsidRDefault="00596311" w:rsidP="00C91570">
            <w:r w:rsidRPr="00764C1F">
              <w:t>“Thank you for the opportunity to quote. Please let me know if you have any questions or additional items for review.”</w:t>
            </w:r>
          </w:p>
        </w:tc>
      </w:tr>
      <w:tr w:rsidR="00596311" w:rsidRPr="00764C1F" w14:paraId="0282B6F9" w14:textId="77777777" w:rsidTr="00C91570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55FCE241" w14:textId="77777777" w:rsidR="00596311" w:rsidRPr="00764C1F" w:rsidRDefault="00596311" w:rsidP="00C91570">
            <w:r w:rsidRPr="00764C1F">
              <w:rPr>
                <w:b/>
                <w:bCs/>
              </w:rPr>
              <w:t xml:space="preserve">Day </w:t>
            </w:r>
            <w:r>
              <w:rPr>
                <w:b/>
                <w:bCs/>
              </w:rPr>
              <w:t>10</w:t>
            </w:r>
            <w:r w:rsidRPr="00764C1F">
              <w:rPr>
                <w:b/>
                <w:bCs/>
              </w:rPr>
              <w:t xml:space="preserve"> – First Reminder</w:t>
            </w:r>
          </w:p>
        </w:tc>
        <w:tc>
          <w:tcPr>
            <w:tcW w:w="1590" w:type="dxa"/>
            <w:vAlign w:val="center"/>
            <w:hideMark/>
          </w:tcPr>
          <w:p w14:paraId="6180B6EC" w14:textId="77777777" w:rsidR="00596311" w:rsidRPr="00764C1F" w:rsidRDefault="00596311" w:rsidP="00C91570">
            <w:r w:rsidRPr="00764C1F">
              <w:t>Polite follow-up</w:t>
            </w:r>
          </w:p>
        </w:tc>
        <w:tc>
          <w:tcPr>
            <w:tcW w:w="0" w:type="auto"/>
            <w:vAlign w:val="center"/>
            <w:hideMark/>
          </w:tcPr>
          <w:p w14:paraId="21F65760" w14:textId="77777777" w:rsidR="00596311" w:rsidRPr="00764C1F" w:rsidRDefault="00596311" w:rsidP="00C91570">
            <w:r w:rsidRPr="00764C1F">
              <w:t>“Just checking if you’ve had a chance to review the quote. Approval is needed to secure turnaround time.”</w:t>
            </w:r>
          </w:p>
        </w:tc>
      </w:tr>
      <w:tr w:rsidR="00596311" w:rsidRPr="00764C1F" w14:paraId="7F36C003" w14:textId="77777777" w:rsidTr="00C91570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6BB231AA" w14:textId="77777777" w:rsidR="00596311" w:rsidRPr="00764C1F" w:rsidRDefault="00596311" w:rsidP="00C91570">
            <w:r w:rsidRPr="00764C1F">
              <w:rPr>
                <w:b/>
                <w:bCs/>
              </w:rPr>
              <w:t xml:space="preserve">Day </w:t>
            </w:r>
            <w:r>
              <w:rPr>
                <w:b/>
                <w:bCs/>
              </w:rPr>
              <w:t>30</w:t>
            </w:r>
            <w:r w:rsidRPr="00764C1F">
              <w:rPr>
                <w:b/>
                <w:bCs/>
              </w:rPr>
              <w:t xml:space="preserve"> – Second Reminder</w:t>
            </w:r>
          </w:p>
        </w:tc>
        <w:tc>
          <w:tcPr>
            <w:tcW w:w="1590" w:type="dxa"/>
            <w:vAlign w:val="center"/>
            <w:hideMark/>
          </w:tcPr>
          <w:p w14:paraId="2E284457" w14:textId="77777777" w:rsidR="00596311" w:rsidRPr="00764C1F" w:rsidRDefault="00596311" w:rsidP="00C91570">
            <w:r w:rsidRPr="00764C1F">
              <w:t>Stronger follow-up</w:t>
            </w:r>
          </w:p>
        </w:tc>
        <w:tc>
          <w:tcPr>
            <w:tcW w:w="0" w:type="auto"/>
            <w:vAlign w:val="center"/>
          </w:tcPr>
          <w:p w14:paraId="59D298A4" w14:textId="77777777" w:rsidR="00596311" w:rsidRPr="00764C1F" w:rsidRDefault="00596311" w:rsidP="00C91570">
            <w:pPr>
              <w:ind w:left="-30"/>
            </w:pPr>
            <w:r>
              <w:t xml:space="preserve"> “The quote for this unit will expire in 60 days. Please respond.”</w:t>
            </w:r>
          </w:p>
        </w:tc>
      </w:tr>
      <w:tr w:rsidR="00596311" w:rsidRPr="00764C1F" w14:paraId="02B359E3" w14:textId="77777777" w:rsidTr="00C91570">
        <w:trPr>
          <w:tblCellSpacing w:w="15" w:type="dxa"/>
        </w:trPr>
        <w:tc>
          <w:tcPr>
            <w:tcW w:w="2925" w:type="dxa"/>
            <w:vAlign w:val="center"/>
          </w:tcPr>
          <w:p w14:paraId="72713DA1" w14:textId="77777777" w:rsidR="00596311" w:rsidRPr="00764C1F" w:rsidRDefault="00596311" w:rsidP="00C91570">
            <w:pPr>
              <w:ind w:right="-570"/>
              <w:rPr>
                <w:b/>
                <w:bCs/>
              </w:rPr>
            </w:pPr>
            <w:r>
              <w:rPr>
                <w:b/>
                <w:bCs/>
              </w:rPr>
              <w:t>Day 60 – Third Reminder</w:t>
            </w:r>
          </w:p>
        </w:tc>
        <w:tc>
          <w:tcPr>
            <w:tcW w:w="1590" w:type="dxa"/>
            <w:vAlign w:val="center"/>
          </w:tcPr>
          <w:p w14:paraId="7D564424" w14:textId="77777777" w:rsidR="00596311" w:rsidRPr="00764C1F" w:rsidRDefault="00596311" w:rsidP="00C91570">
            <w:r>
              <w:t>Final Follow-up</w:t>
            </w:r>
          </w:p>
        </w:tc>
        <w:tc>
          <w:tcPr>
            <w:tcW w:w="0" w:type="auto"/>
            <w:vAlign w:val="center"/>
          </w:tcPr>
          <w:p w14:paraId="7181269D" w14:textId="45BDE0F3" w:rsidR="00596311" w:rsidRPr="00764C1F" w:rsidRDefault="00596311" w:rsidP="00C91570">
            <w:r>
              <w:t>“</w:t>
            </w:r>
            <w:r w:rsidRPr="00CB1236">
              <w:t xml:space="preserve">“Quote validity is expiring within </w:t>
            </w:r>
            <w:r>
              <w:t>30</w:t>
            </w:r>
            <w:r w:rsidRPr="00CB1236">
              <w:t xml:space="preserve"> days. Please approve to proceed, or the part will be </w:t>
            </w:r>
            <w:r w:rsidR="00440110" w:rsidRPr="00CB1236">
              <w:t>returned,</w:t>
            </w:r>
            <w:r w:rsidR="00440110">
              <w:t xml:space="preserve"> </w:t>
            </w:r>
            <w:r w:rsidR="00440110" w:rsidRPr="00D845B5">
              <w:rPr>
                <w:color w:val="000000" w:themeColor="text1"/>
              </w:rPr>
              <w:t>and the evaluation and handling charges will be invoiced</w:t>
            </w:r>
            <w:r w:rsidRPr="00D845B5">
              <w:rPr>
                <w:color w:val="000000" w:themeColor="text1"/>
              </w:rPr>
              <w:t>.”</w:t>
            </w:r>
          </w:p>
        </w:tc>
      </w:tr>
      <w:tr w:rsidR="00596311" w:rsidRPr="00764C1F" w14:paraId="1BDB61E1" w14:textId="77777777" w:rsidTr="00C91570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358C0EE4" w14:textId="77777777" w:rsidR="00596311" w:rsidRPr="00764C1F" w:rsidRDefault="00596311" w:rsidP="00C91570">
            <w:pPr>
              <w:ind w:right="-570"/>
            </w:pPr>
            <w:r w:rsidRPr="00764C1F">
              <w:rPr>
                <w:b/>
                <w:bCs/>
              </w:rPr>
              <w:lastRenderedPageBreak/>
              <w:t xml:space="preserve">Day </w:t>
            </w:r>
            <w:r>
              <w:rPr>
                <w:b/>
                <w:bCs/>
              </w:rPr>
              <w:t xml:space="preserve">90 </w:t>
            </w:r>
            <w:r w:rsidRPr="00764C1F">
              <w:rPr>
                <w:b/>
                <w:bCs/>
              </w:rPr>
              <w:t xml:space="preserve"> (or earlier if no response)</w:t>
            </w:r>
          </w:p>
        </w:tc>
        <w:tc>
          <w:tcPr>
            <w:tcW w:w="1590" w:type="dxa"/>
            <w:vAlign w:val="center"/>
            <w:hideMark/>
          </w:tcPr>
          <w:p w14:paraId="592407DC" w14:textId="77777777" w:rsidR="00596311" w:rsidRPr="00764C1F" w:rsidRDefault="00596311" w:rsidP="00C91570">
            <w:r w:rsidRPr="00764C1F">
              <w:t>Final action</w:t>
            </w:r>
          </w:p>
        </w:tc>
        <w:tc>
          <w:tcPr>
            <w:tcW w:w="0" w:type="auto"/>
            <w:vAlign w:val="center"/>
            <w:hideMark/>
          </w:tcPr>
          <w:p w14:paraId="564E7B41" w14:textId="2F73A2CB" w:rsidR="00596311" w:rsidRPr="00764C1F" w:rsidRDefault="00596311" w:rsidP="00C91570">
            <w:r w:rsidRPr="00764C1F">
              <w:t xml:space="preserve">Send final notice. Allow 24 hours for a response. If </w:t>
            </w:r>
            <w:r w:rsidR="00440110" w:rsidRPr="00764C1F">
              <w:t>there is no</w:t>
            </w:r>
            <w:r w:rsidRPr="00764C1F">
              <w:t xml:space="preserve"> reply, return the part </w:t>
            </w:r>
            <w:r w:rsidR="00440110">
              <w:t>and ensure</w:t>
            </w:r>
            <w:r w:rsidR="00440110" w:rsidRPr="00440110">
              <w:rPr>
                <w:color w:val="EE0000"/>
              </w:rPr>
              <w:t xml:space="preserve"> </w:t>
            </w:r>
            <w:r w:rsidR="00440110" w:rsidRPr="00D845B5">
              <w:rPr>
                <w:color w:val="000000" w:themeColor="text1"/>
              </w:rPr>
              <w:t>evaluation and handling charges are invoiced.</w:t>
            </w:r>
          </w:p>
        </w:tc>
      </w:tr>
    </w:tbl>
    <w:p w14:paraId="4A46B27B" w14:textId="77777777" w:rsidR="00596311" w:rsidRPr="00764C1F" w:rsidRDefault="00596311" w:rsidP="00596311">
      <w:pPr>
        <w:rPr>
          <w:b/>
          <w:bCs/>
        </w:rPr>
      </w:pPr>
      <w:r w:rsidRPr="00764C1F">
        <w:rPr>
          <w:b/>
          <w:bCs/>
        </w:rPr>
        <w:t>3.3 Exceptions</w:t>
      </w:r>
    </w:p>
    <w:p w14:paraId="1539E5F0" w14:textId="77777777" w:rsidR="00596311" w:rsidRPr="00764C1F" w:rsidRDefault="00596311" w:rsidP="00596311">
      <w:pPr>
        <w:numPr>
          <w:ilvl w:val="0"/>
          <w:numId w:val="2"/>
        </w:numPr>
      </w:pPr>
      <w:r w:rsidRPr="00764C1F">
        <w:rPr>
          <w:b/>
          <w:bCs/>
        </w:rPr>
        <w:t>International Customers:</w:t>
      </w:r>
      <w:r w:rsidRPr="00764C1F">
        <w:t xml:space="preserve"> Timelines may be adjusted.</w:t>
      </w:r>
    </w:p>
    <w:p w14:paraId="6936E613" w14:textId="3E5172DD" w:rsidR="00596311" w:rsidRPr="00764C1F" w:rsidRDefault="00596311" w:rsidP="00596311">
      <w:pPr>
        <w:numPr>
          <w:ilvl w:val="0"/>
          <w:numId w:val="2"/>
        </w:numPr>
      </w:pPr>
      <w:r w:rsidRPr="00764C1F">
        <w:rPr>
          <w:b/>
          <w:bCs/>
        </w:rPr>
        <w:t>Strategic Customers:</w:t>
      </w:r>
      <w:r w:rsidRPr="00764C1F">
        <w:t xml:space="preserve"> Exceptions allowed only with management</w:t>
      </w:r>
      <w:r w:rsidR="00DF0A0D">
        <w:t xml:space="preserve"> (VP/GM)</w:t>
      </w:r>
      <w:r w:rsidRPr="00764C1F">
        <w:t xml:space="preserve"> approval.</w:t>
      </w:r>
      <w:r>
        <w:t xml:space="preserve"> All agreements must be in writing.</w:t>
      </w:r>
    </w:p>
    <w:p w14:paraId="7A256873" w14:textId="77777777" w:rsidR="00596311" w:rsidRPr="00764C1F" w:rsidRDefault="00596311" w:rsidP="00596311">
      <w:pPr>
        <w:numPr>
          <w:ilvl w:val="0"/>
          <w:numId w:val="2"/>
        </w:numPr>
      </w:pPr>
      <w:r w:rsidRPr="00764C1F">
        <w:rPr>
          <w:b/>
          <w:bCs/>
        </w:rPr>
        <w:t>Documentation:</w:t>
      </w:r>
      <w:r w:rsidRPr="00764C1F">
        <w:t xml:space="preserve"> All exceptions must be recorded in the CRM/ERP with a reason code.</w:t>
      </w:r>
    </w:p>
    <w:p w14:paraId="08250628" w14:textId="77777777" w:rsidR="00596311" w:rsidRPr="00764C1F" w:rsidRDefault="00596311" w:rsidP="00596311">
      <w:pPr>
        <w:rPr>
          <w:b/>
          <w:bCs/>
        </w:rPr>
      </w:pPr>
      <w:r w:rsidRPr="00764C1F">
        <w:rPr>
          <w:b/>
          <w:bCs/>
        </w:rPr>
        <w:t>3.4 Accountability</w:t>
      </w:r>
    </w:p>
    <w:p w14:paraId="0F69E21C" w14:textId="77777777" w:rsidR="00596311" w:rsidRPr="00764C1F" w:rsidRDefault="00596311" w:rsidP="00596311">
      <w:pPr>
        <w:numPr>
          <w:ilvl w:val="0"/>
          <w:numId w:val="3"/>
        </w:numPr>
      </w:pPr>
      <w:r w:rsidRPr="00764C1F">
        <w:t xml:space="preserve">The </w:t>
      </w:r>
      <w:r w:rsidRPr="00764C1F">
        <w:rPr>
          <w:b/>
          <w:bCs/>
        </w:rPr>
        <w:t>Account Manager</w:t>
      </w:r>
      <w:r w:rsidRPr="00764C1F">
        <w:t xml:space="preserve"> owns the quote outcome and customer communication.</w:t>
      </w:r>
    </w:p>
    <w:p w14:paraId="6C13FAC6" w14:textId="77777777" w:rsidR="00596311" w:rsidRPr="00764C1F" w:rsidRDefault="00596311" w:rsidP="00596311">
      <w:pPr>
        <w:numPr>
          <w:ilvl w:val="0"/>
          <w:numId w:val="3"/>
        </w:numPr>
      </w:pPr>
      <w:r w:rsidRPr="00764C1F">
        <w:rPr>
          <w:b/>
          <w:bCs/>
        </w:rPr>
        <w:t>Support Staff</w:t>
      </w:r>
      <w:r w:rsidRPr="00764C1F">
        <w:t xml:space="preserve"> provide administrative and system assistance only.</w:t>
      </w:r>
    </w:p>
    <w:p w14:paraId="55887D62" w14:textId="77777777" w:rsidR="00596311" w:rsidRPr="00764C1F" w:rsidRDefault="00596311" w:rsidP="00596311">
      <w:pPr>
        <w:numPr>
          <w:ilvl w:val="0"/>
          <w:numId w:val="3"/>
        </w:numPr>
      </w:pPr>
      <w:r w:rsidRPr="00764C1F">
        <w:t>All pending or expired quotes remain the responsibility of the assigned Account Manager.</w:t>
      </w:r>
    </w:p>
    <w:p w14:paraId="703EF164" w14:textId="77777777" w:rsidR="00596311" w:rsidRPr="00764C1F" w:rsidRDefault="00596311" w:rsidP="00596311">
      <w:pPr>
        <w:rPr>
          <w:b/>
          <w:bCs/>
        </w:rPr>
      </w:pPr>
      <w:r w:rsidRPr="00764C1F">
        <w:rPr>
          <w:b/>
          <w:bCs/>
        </w:rPr>
        <w:t>3.5 Reporting</w:t>
      </w:r>
    </w:p>
    <w:p w14:paraId="39BF6C89" w14:textId="77777777" w:rsidR="00596311" w:rsidRPr="00764C1F" w:rsidRDefault="00596311" w:rsidP="00596311">
      <w:pPr>
        <w:numPr>
          <w:ilvl w:val="0"/>
          <w:numId w:val="4"/>
        </w:numPr>
      </w:pPr>
      <w:r w:rsidRPr="00764C1F">
        <w:rPr>
          <w:b/>
          <w:bCs/>
        </w:rPr>
        <w:t>Daily Report:</w:t>
      </w:r>
      <w:r w:rsidRPr="00764C1F">
        <w:t xml:space="preserve"> All quotes sent, pending, and approved.</w:t>
      </w:r>
    </w:p>
    <w:p w14:paraId="7FB38A20" w14:textId="77777777" w:rsidR="00596311" w:rsidRPr="00764C1F" w:rsidRDefault="00596311" w:rsidP="00596311">
      <w:pPr>
        <w:numPr>
          <w:ilvl w:val="0"/>
          <w:numId w:val="4"/>
        </w:numPr>
      </w:pPr>
      <w:r w:rsidRPr="00764C1F">
        <w:rPr>
          <w:b/>
          <w:bCs/>
        </w:rPr>
        <w:t>Weekly Report:</w:t>
      </w:r>
    </w:p>
    <w:p w14:paraId="25C6DCF8" w14:textId="77777777" w:rsidR="00596311" w:rsidRPr="00764C1F" w:rsidRDefault="00596311" w:rsidP="00596311">
      <w:pPr>
        <w:numPr>
          <w:ilvl w:val="1"/>
          <w:numId w:val="4"/>
        </w:numPr>
      </w:pPr>
      <w:r w:rsidRPr="00764C1F">
        <w:t>Total value of approved quotes</w:t>
      </w:r>
    </w:p>
    <w:p w14:paraId="5917ECEF" w14:textId="77777777" w:rsidR="00596311" w:rsidRPr="00764C1F" w:rsidRDefault="00596311" w:rsidP="00596311">
      <w:pPr>
        <w:numPr>
          <w:ilvl w:val="1"/>
          <w:numId w:val="4"/>
        </w:numPr>
      </w:pPr>
      <w:r w:rsidRPr="00764C1F">
        <w:t>Quote-to-approval conversion rate</w:t>
      </w:r>
    </w:p>
    <w:p w14:paraId="05E97AAC" w14:textId="3615ADFC" w:rsidR="00596311" w:rsidRPr="00764C1F" w:rsidRDefault="00596311" w:rsidP="00596311">
      <w:pPr>
        <w:numPr>
          <w:ilvl w:val="1"/>
          <w:numId w:val="4"/>
        </w:numPr>
      </w:pPr>
      <w:r w:rsidRPr="00764C1F">
        <w:t xml:space="preserve">Aging quotes </w:t>
      </w:r>
      <w:r w:rsidR="00814898">
        <w:t>(10,30,60,90</w:t>
      </w:r>
      <w:r w:rsidRPr="00764C1F">
        <w:t xml:space="preserve"> days)</w:t>
      </w:r>
    </w:p>
    <w:p w14:paraId="6913D6E6" w14:textId="77777777" w:rsidR="00596311" w:rsidRPr="00764C1F" w:rsidRDefault="00596311" w:rsidP="00596311">
      <w:pPr>
        <w:numPr>
          <w:ilvl w:val="1"/>
          <w:numId w:val="4"/>
        </w:numPr>
      </w:pPr>
      <w:r w:rsidRPr="00764C1F">
        <w:t>Sales Bowler and War Plan updates</w:t>
      </w:r>
    </w:p>
    <w:p w14:paraId="39281B28" w14:textId="77777777" w:rsidR="00596311" w:rsidRPr="00764C1F" w:rsidRDefault="00596311" w:rsidP="00596311">
      <w:pPr>
        <w:rPr>
          <w:b/>
          <w:bCs/>
        </w:rPr>
      </w:pPr>
      <w:r w:rsidRPr="00764C1F">
        <w:rPr>
          <w:b/>
          <w:bCs/>
        </w:rPr>
        <w:t>3.6 KPIs</w:t>
      </w:r>
    </w:p>
    <w:p w14:paraId="52A6B30F" w14:textId="77777777" w:rsidR="00596311" w:rsidRPr="00764C1F" w:rsidRDefault="00596311" w:rsidP="00596311">
      <w:pPr>
        <w:numPr>
          <w:ilvl w:val="0"/>
          <w:numId w:val="5"/>
        </w:numPr>
      </w:pPr>
      <w:r w:rsidRPr="00764C1F">
        <w:t>$500,000 in weekly quote approvals (team target)</w:t>
      </w:r>
    </w:p>
    <w:p w14:paraId="60302502" w14:textId="77777777" w:rsidR="00596311" w:rsidRPr="00764C1F" w:rsidRDefault="00596311" w:rsidP="00596311">
      <w:pPr>
        <w:numPr>
          <w:ilvl w:val="0"/>
          <w:numId w:val="5"/>
        </w:numPr>
      </w:pPr>
      <w:r w:rsidRPr="00764C1F">
        <w:t>Quote-to-approval conversion rate</w:t>
      </w:r>
    </w:p>
    <w:p w14:paraId="3208A069" w14:textId="77777777" w:rsidR="00596311" w:rsidRPr="00764C1F" w:rsidRDefault="00596311" w:rsidP="00596311">
      <w:pPr>
        <w:numPr>
          <w:ilvl w:val="0"/>
          <w:numId w:val="5"/>
        </w:numPr>
      </w:pPr>
      <w:r w:rsidRPr="00764C1F">
        <w:t>Quote aging distribution</w:t>
      </w:r>
    </w:p>
    <w:p w14:paraId="0FFE9817" w14:textId="77777777" w:rsidR="00596311" w:rsidRPr="00764C1F" w:rsidRDefault="00000000" w:rsidP="00596311">
      <w:r>
        <w:pict w14:anchorId="1797FC7F">
          <v:rect id="_x0000_i1026" style="width:0;height:1.5pt" o:hralign="center" o:hrstd="t" o:hr="t" fillcolor="#a0a0a0" stroked="f"/>
        </w:pict>
      </w:r>
    </w:p>
    <w:p w14:paraId="351D69D2" w14:textId="77777777" w:rsidR="00596311" w:rsidRPr="00764C1F" w:rsidRDefault="00596311" w:rsidP="00596311">
      <w:pPr>
        <w:rPr>
          <w:b/>
          <w:bCs/>
        </w:rPr>
      </w:pPr>
      <w:r w:rsidRPr="00764C1F">
        <w:rPr>
          <w:b/>
          <w:bCs/>
        </w:rPr>
        <w:lastRenderedPageBreak/>
        <w:t>4. Evaluation Fee Policy</w:t>
      </w:r>
    </w:p>
    <w:p w14:paraId="4471715C" w14:textId="77777777" w:rsidR="00596311" w:rsidRPr="00764C1F" w:rsidRDefault="00596311" w:rsidP="00596311">
      <w:pPr>
        <w:rPr>
          <w:b/>
          <w:bCs/>
        </w:rPr>
      </w:pPr>
      <w:r w:rsidRPr="00764C1F">
        <w:rPr>
          <w:b/>
          <w:bCs/>
        </w:rPr>
        <w:t>4.1 Definition</w:t>
      </w:r>
    </w:p>
    <w:p w14:paraId="4F16A89E" w14:textId="77777777" w:rsidR="00596311" w:rsidRPr="00764C1F" w:rsidRDefault="00596311" w:rsidP="00596311">
      <w:r w:rsidRPr="00764C1F">
        <w:t xml:space="preserve">An </w:t>
      </w:r>
      <w:r w:rsidRPr="00764C1F">
        <w:rPr>
          <w:b/>
          <w:bCs/>
        </w:rPr>
        <w:t>Evaluation Fee</w:t>
      </w:r>
      <w:r w:rsidRPr="00764C1F">
        <w:t xml:space="preserve"> is a non-refundable charge for inspection and testing when:</w:t>
      </w:r>
    </w:p>
    <w:p w14:paraId="334F9934" w14:textId="77777777" w:rsidR="00596311" w:rsidRPr="00764C1F" w:rsidRDefault="00596311" w:rsidP="00596311">
      <w:pPr>
        <w:numPr>
          <w:ilvl w:val="0"/>
          <w:numId w:val="6"/>
        </w:numPr>
      </w:pPr>
      <w:r w:rsidRPr="00764C1F">
        <w:t xml:space="preserve">The unit is </w:t>
      </w:r>
      <w:r w:rsidRPr="00764C1F">
        <w:rPr>
          <w:b/>
          <w:bCs/>
        </w:rPr>
        <w:t>Beyond Economical Repair (BER)</w:t>
      </w:r>
      <w:r w:rsidRPr="00764C1F">
        <w:t>, or</w:t>
      </w:r>
    </w:p>
    <w:p w14:paraId="0FB537A3" w14:textId="77777777" w:rsidR="00596311" w:rsidRPr="00764C1F" w:rsidRDefault="00596311" w:rsidP="00596311">
      <w:pPr>
        <w:numPr>
          <w:ilvl w:val="0"/>
          <w:numId w:val="6"/>
        </w:numPr>
      </w:pPr>
      <w:r w:rsidRPr="00764C1F">
        <w:t xml:space="preserve">The </w:t>
      </w:r>
      <w:r w:rsidRPr="00764C1F">
        <w:rPr>
          <w:b/>
          <w:bCs/>
        </w:rPr>
        <w:t>customer declines the repair</w:t>
      </w:r>
      <w:r w:rsidRPr="00764C1F">
        <w:t xml:space="preserve"> after evaluation.</w:t>
      </w:r>
    </w:p>
    <w:p w14:paraId="3624103A" w14:textId="77777777" w:rsidR="00596311" w:rsidRPr="00764C1F" w:rsidRDefault="00596311" w:rsidP="00596311">
      <w:pPr>
        <w:rPr>
          <w:b/>
          <w:bCs/>
        </w:rPr>
      </w:pPr>
      <w:r w:rsidRPr="00764C1F">
        <w:rPr>
          <w:b/>
          <w:bCs/>
        </w:rPr>
        <w:t>4.2 Fee Details</w:t>
      </w:r>
    </w:p>
    <w:p w14:paraId="208F5AC3" w14:textId="77777777" w:rsidR="00596311" w:rsidRPr="00764C1F" w:rsidRDefault="00596311" w:rsidP="00596311">
      <w:pPr>
        <w:numPr>
          <w:ilvl w:val="0"/>
          <w:numId w:val="7"/>
        </w:numPr>
      </w:pPr>
      <w:r w:rsidRPr="00764C1F">
        <w:t>Based on part category, labor, and inspection time.</w:t>
      </w:r>
    </w:p>
    <w:p w14:paraId="3699AE93" w14:textId="77777777" w:rsidR="00596311" w:rsidRPr="00764C1F" w:rsidRDefault="00596311" w:rsidP="00596311">
      <w:pPr>
        <w:numPr>
          <w:ilvl w:val="0"/>
          <w:numId w:val="7"/>
        </w:numPr>
      </w:pPr>
      <w:r w:rsidRPr="00764C1F">
        <w:t>Communicated in quotes, contracts, or repair agreements.</w:t>
      </w:r>
    </w:p>
    <w:p w14:paraId="40CB1F09" w14:textId="04E24A6C" w:rsidR="00596311" w:rsidRPr="00764C1F" w:rsidRDefault="00596311" w:rsidP="00596311">
      <w:pPr>
        <w:numPr>
          <w:ilvl w:val="0"/>
          <w:numId w:val="7"/>
        </w:numPr>
      </w:pPr>
      <w:r w:rsidRPr="00764C1F">
        <w:t>Exceptions require management</w:t>
      </w:r>
      <w:r>
        <w:t xml:space="preserve"> (VP/GM)</w:t>
      </w:r>
      <w:r w:rsidRPr="00764C1F">
        <w:t xml:space="preserve"> approval.</w:t>
      </w:r>
    </w:p>
    <w:p w14:paraId="4B7269BF" w14:textId="77777777" w:rsidR="00596311" w:rsidRPr="00764C1F" w:rsidRDefault="00596311" w:rsidP="00596311">
      <w:pPr>
        <w:rPr>
          <w:b/>
          <w:bCs/>
        </w:rPr>
      </w:pPr>
      <w:r w:rsidRPr="00764C1F">
        <w:rPr>
          <w:b/>
          <w:bCs/>
        </w:rPr>
        <w:t>4.3 Billing</w:t>
      </w:r>
    </w:p>
    <w:p w14:paraId="2B67B4E6" w14:textId="4D0244B4" w:rsidR="00596311" w:rsidRPr="00764C1F" w:rsidRDefault="00596311" w:rsidP="00814898">
      <w:pPr>
        <w:numPr>
          <w:ilvl w:val="0"/>
          <w:numId w:val="8"/>
        </w:numPr>
      </w:pPr>
      <w:r w:rsidRPr="00764C1F">
        <w:t>Fee applies even if the customer declines the repair.</w:t>
      </w:r>
    </w:p>
    <w:p w14:paraId="4493B8B1" w14:textId="77777777" w:rsidR="00596311" w:rsidRPr="00764C1F" w:rsidRDefault="00000000" w:rsidP="00596311">
      <w:r>
        <w:pict w14:anchorId="3CBE49F0">
          <v:rect id="_x0000_i1027" style="width:0;height:1.5pt" o:hralign="center" o:hrstd="t" o:hr="t" fillcolor="#a0a0a0" stroked="f"/>
        </w:pict>
      </w:r>
    </w:p>
    <w:p w14:paraId="72212FAC" w14:textId="77777777" w:rsidR="00596311" w:rsidRPr="00764C1F" w:rsidRDefault="00596311" w:rsidP="00596311">
      <w:pPr>
        <w:rPr>
          <w:b/>
          <w:bCs/>
        </w:rPr>
      </w:pPr>
      <w:r w:rsidRPr="00764C1F">
        <w:rPr>
          <w:b/>
          <w:bCs/>
        </w:rPr>
        <w:t>5. Return As Is (RAI) Policy</w:t>
      </w:r>
    </w:p>
    <w:p w14:paraId="7E2EBD5C" w14:textId="77777777" w:rsidR="00596311" w:rsidRPr="00764C1F" w:rsidRDefault="00596311" w:rsidP="00596311">
      <w:pPr>
        <w:rPr>
          <w:b/>
          <w:bCs/>
        </w:rPr>
      </w:pPr>
      <w:r w:rsidRPr="00764C1F">
        <w:rPr>
          <w:b/>
          <w:bCs/>
        </w:rPr>
        <w:t>5.1 Definition</w:t>
      </w:r>
    </w:p>
    <w:p w14:paraId="62237791" w14:textId="77777777" w:rsidR="00596311" w:rsidRPr="00764C1F" w:rsidRDefault="00596311" w:rsidP="00596311">
      <w:r w:rsidRPr="00764C1F">
        <w:t>Applies when a customer declines the repair and requests the unit be returned unrepaired.</w:t>
      </w:r>
    </w:p>
    <w:p w14:paraId="05AEED57" w14:textId="77777777" w:rsidR="00596311" w:rsidRPr="00764C1F" w:rsidRDefault="00596311" w:rsidP="00596311">
      <w:pPr>
        <w:rPr>
          <w:b/>
          <w:bCs/>
        </w:rPr>
      </w:pPr>
      <w:r w:rsidRPr="00764C1F">
        <w:rPr>
          <w:b/>
          <w:bCs/>
        </w:rPr>
        <w:t>5.2 Process</w:t>
      </w:r>
    </w:p>
    <w:p w14:paraId="22D3D928" w14:textId="77777777" w:rsidR="00596311" w:rsidRPr="00764C1F" w:rsidRDefault="00596311" w:rsidP="00596311">
      <w:pPr>
        <w:numPr>
          <w:ilvl w:val="0"/>
          <w:numId w:val="9"/>
        </w:numPr>
      </w:pPr>
      <w:r w:rsidRPr="00764C1F">
        <w:t xml:space="preserve">Return the unit </w:t>
      </w:r>
      <w:proofErr w:type="gramStart"/>
      <w:r w:rsidRPr="00764C1F">
        <w:t>in</w:t>
      </w:r>
      <w:proofErr w:type="gramEnd"/>
      <w:r w:rsidRPr="00764C1F">
        <w:t xml:space="preserve"> its evaluated condition.</w:t>
      </w:r>
    </w:p>
    <w:p w14:paraId="343E9000" w14:textId="77777777" w:rsidR="00596311" w:rsidRPr="00764C1F" w:rsidRDefault="00596311" w:rsidP="00596311">
      <w:pPr>
        <w:numPr>
          <w:ilvl w:val="0"/>
          <w:numId w:val="9"/>
        </w:numPr>
      </w:pPr>
      <w:r w:rsidRPr="00764C1F">
        <w:t xml:space="preserve">Tag as </w:t>
      </w:r>
      <w:r w:rsidRPr="00764C1F">
        <w:rPr>
          <w:b/>
          <w:bCs/>
        </w:rPr>
        <w:t>“RAI – Unrepaired.”</w:t>
      </w:r>
    </w:p>
    <w:p w14:paraId="5F2719E1" w14:textId="77777777" w:rsidR="00596311" w:rsidRDefault="00596311" w:rsidP="00596311">
      <w:pPr>
        <w:numPr>
          <w:ilvl w:val="0"/>
          <w:numId w:val="9"/>
        </w:numPr>
      </w:pPr>
      <w:r w:rsidRPr="00764C1F">
        <w:t>Do not reverse teardown unless previously agreed.</w:t>
      </w:r>
    </w:p>
    <w:p w14:paraId="6AC6F651" w14:textId="37AE17CF" w:rsidR="00EE2257" w:rsidRPr="00764C1F" w:rsidRDefault="00EE2257" w:rsidP="00596311">
      <w:pPr>
        <w:numPr>
          <w:ilvl w:val="0"/>
          <w:numId w:val="9"/>
        </w:numPr>
      </w:pPr>
      <w:r>
        <w:t xml:space="preserve">If the article is still in quote, Account Manager shall delete all discrepancies beyond squawk #1, convert it to a Work Order, and inform Inspection that the article is to be </w:t>
      </w:r>
      <w:r w:rsidR="003D5595">
        <w:t>returned “as is” to the customer.</w:t>
      </w:r>
    </w:p>
    <w:p w14:paraId="7A18AA52" w14:textId="77777777" w:rsidR="00596311" w:rsidRPr="00764C1F" w:rsidRDefault="00596311" w:rsidP="00596311">
      <w:pPr>
        <w:rPr>
          <w:b/>
          <w:bCs/>
        </w:rPr>
      </w:pPr>
      <w:r w:rsidRPr="00764C1F">
        <w:rPr>
          <w:b/>
          <w:bCs/>
        </w:rPr>
        <w:t>5.3 Charges</w:t>
      </w:r>
    </w:p>
    <w:p w14:paraId="1F4B06F9" w14:textId="77777777" w:rsidR="00596311" w:rsidRPr="00764C1F" w:rsidRDefault="00596311" w:rsidP="00596311">
      <w:pPr>
        <w:numPr>
          <w:ilvl w:val="0"/>
          <w:numId w:val="10"/>
        </w:numPr>
      </w:pPr>
      <w:r>
        <w:t xml:space="preserve"> RAI units will be charged based on Time and Materials used during the evaluation process</w:t>
      </w:r>
    </w:p>
    <w:p w14:paraId="1C57499D" w14:textId="77777777" w:rsidR="00596311" w:rsidRPr="00764C1F" w:rsidRDefault="00596311" w:rsidP="00596311">
      <w:pPr>
        <w:numPr>
          <w:ilvl w:val="0"/>
          <w:numId w:val="10"/>
        </w:numPr>
      </w:pPr>
      <w:r w:rsidRPr="00764C1F">
        <w:t>Any reassembly or packaging costs will be communicated in advance.</w:t>
      </w:r>
    </w:p>
    <w:p w14:paraId="5BAFC6A1" w14:textId="77777777" w:rsidR="00596311" w:rsidRPr="00764C1F" w:rsidRDefault="00596311" w:rsidP="00596311">
      <w:pPr>
        <w:rPr>
          <w:b/>
          <w:bCs/>
        </w:rPr>
      </w:pPr>
      <w:r w:rsidRPr="00764C1F">
        <w:rPr>
          <w:b/>
          <w:bCs/>
        </w:rPr>
        <w:t>5.4 Shipping &amp; Documentation</w:t>
      </w:r>
    </w:p>
    <w:p w14:paraId="0163E9FB" w14:textId="77777777" w:rsidR="00596311" w:rsidRPr="00764C1F" w:rsidRDefault="00596311" w:rsidP="00596311">
      <w:pPr>
        <w:numPr>
          <w:ilvl w:val="0"/>
          <w:numId w:val="11"/>
        </w:numPr>
      </w:pPr>
      <w:r w:rsidRPr="00764C1F">
        <w:lastRenderedPageBreak/>
        <w:t>Follow standard shipping procedures.</w:t>
      </w:r>
    </w:p>
    <w:p w14:paraId="7113ED57" w14:textId="77777777" w:rsidR="00596311" w:rsidRPr="00764C1F" w:rsidRDefault="00596311" w:rsidP="00596311">
      <w:pPr>
        <w:numPr>
          <w:ilvl w:val="0"/>
          <w:numId w:val="11"/>
        </w:numPr>
      </w:pPr>
      <w:r w:rsidRPr="00764C1F">
        <w:t xml:space="preserve">System notes and work order must state </w:t>
      </w:r>
      <w:r w:rsidRPr="00764C1F">
        <w:rPr>
          <w:b/>
          <w:bCs/>
        </w:rPr>
        <w:t>“RAI – Customer Declined Repair.”</w:t>
      </w:r>
    </w:p>
    <w:p w14:paraId="2485146D" w14:textId="77777777" w:rsidR="00596311" w:rsidRPr="00764C1F" w:rsidRDefault="00000000" w:rsidP="00596311">
      <w:r>
        <w:pict w14:anchorId="6B273FB2">
          <v:rect id="_x0000_i1028" style="width:0;height:1.5pt" o:hralign="center" o:hrstd="t" o:hr="t" fillcolor="#a0a0a0" stroked="f"/>
        </w:pict>
      </w:r>
    </w:p>
    <w:p w14:paraId="206D5551" w14:textId="77777777" w:rsidR="00596311" w:rsidRDefault="00596311" w:rsidP="00596311">
      <w:pPr>
        <w:rPr>
          <w:b/>
          <w:bCs/>
        </w:rPr>
      </w:pPr>
      <w:r w:rsidRPr="00764C1F">
        <w:rPr>
          <w:b/>
          <w:bCs/>
        </w:rPr>
        <w:t>6. Scrap Policy</w:t>
      </w:r>
    </w:p>
    <w:p w14:paraId="304431B7" w14:textId="42639679" w:rsidR="00EE2257" w:rsidRPr="00764C1F" w:rsidRDefault="00EE2257" w:rsidP="00596311">
      <w:pPr>
        <w:rPr>
          <w:b/>
          <w:bCs/>
        </w:rPr>
      </w:pPr>
      <w:r>
        <w:rPr>
          <w:b/>
          <w:bCs/>
        </w:rPr>
        <w:tab/>
        <w:t xml:space="preserve">See WI 8.3.B </w:t>
      </w:r>
    </w:p>
    <w:p w14:paraId="1D6ED55A" w14:textId="77777777" w:rsidR="00596311" w:rsidRPr="00764C1F" w:rsidRDefault="00596311" w:rsidP="00596311">
      <w:pPr>
        <w:rPr>
          <w:b/>
          <w:bCs/>
        </w:rPr>
      </w:pPr>
      <w:r w:rsidRPr="00764C1F">
        <w:rPr>
          <w:b/>
          <w:bCs/>
        </w:rPr>
        <w:t>6.1 Definition</w:t>
      </w:r>
    </w:p>
    <w:p w14:paraId="3FFB97C4" w14:textId="77777777" w:rsidR="00596311" w:rsidRPr="00764C1F" w:rsidRDefault="00596311" w:rsidP="00596311">
      <w:r w:rsidRPr="00764C1F">
        <w:t>Scrap includes parts determined to be BER or unrepairable per OEM or regulatory standards.</w:t>
      </w:r>
    </w:p>
    <w:p w14:paraId="5B63C11F" w14:textId="1CF4BAD3" w:rsidR="00EE2257" w:rsidRPr="00764C1F" w:rsidRDefault="00596311" w:rsidP="00596311">
      <w:pPr>
        <w:rPr>
          <w:b/>
          <w:bCs/>
        </w:rPr>
      </w:pPr>
      <w:r w:rsidRPr="00764C1F">
        <w:rPr>
          <w:b/>
          <w:bCs/>
        </w:rPr>
        <w:t>6.2 Customer Authorization</w:t>
      </w:r>
    </w:p>
    <w:p w14:paraId="608F6ACC" w14:textId="6B128EA5" w:rsidR="00596311" w:rsidRDefault="00596311" w:rsidP="00596311">
      <w:pPr>
        <w:numPr>
          <w:ilvl w:val="0"/>
          <w:numId w:val="12"/>
        </w:numPr>
      </w:pPr>
      <w:r w:rsidRPr="00764C1F">
        <w:t xml:space="preserve">Written approval required before </w:t>
      </w:r>
      <w:proofErr w:type="gramStart"/>
      <w:r w:rsidRPr="00764C1F">
        <w:t>scrap</w:t>
      </w:r>
      <w:r w:rsidR="00814898">
        <w:t>p</w:t>
      </w:r>
      <w:r w:rsidRPr="00764C1F">
        <w:t>ing</w:t>
      </w:r>
      <w:proofErr w:type="gramEnd"/>
      <w:r w:rsidRPr="00764C1F">
        <w:t xml:space="preserve"> (unless pre-authorized).</w:t>
      </w:r>
    </w:p>
    <w:p w14:paraId="4105B2AC" w14:textId="000BD099" w:rsidR="00EE2257" w:rsidRPr="00764C1F" w:rsidRDefault="00EE2257" w:rsidP="00596311">
      <w:pPr>
        <w:numPr>
          <w:ilvl w:val="0"/>
          <w:numId w:val="12"/>
        </w:numPr>
      </w:pPr>
      <w:r>
        <w:t xml:space="preserve">If the article is still in the quote, Account Manager shall delete all discrepancies beyond squawk # 1, convert it to a Work Order, and inform Inspection that the article is to be scrapped per customer request. </w:t>
      </w:r>
      <w:r w:rsidR="003D5595">
        <w:t xml:space="preserve">Once the Teardown Report is complete, Inspection will forward it to the Account Manager for communication with the customer. </w:t>
      </w:r>
    </w:p>
    <w:p w14:paraId="7901034D" w14:textId="77777777" w:rsidR="00596311" w:rsidRPr="00764C1F" w:rsidRDefault="00596311" w:rsidP="00596311">
      <w:pPr>
        <w:numPr>
          <w:ilvl w:val="0"/>
          <w:numId w:val="12"/>
        </w:numPr>
      </w:pPr>
      <w:r w:rsidRPr="00764C1F">
        <w:t>All approvals must be documented in CRM/ERP.</w:t>
      </w:r>
    </w:p>
    <w:p w14:paraId="36E89018" w14:textId="77777777" w:rsidR="00596311" w:rsidRPr="00764C1F" w:rsidRDefault="00596311" w:rsidP="00596311">
      <w:pPr>
        <w:rPr>
          <w:b/>
          <w:bCs/>
        </w:rPr>
      </w:pPr>
      <w:r w:rsidRPr="00764C1F">
        <w:rPr>
          <w:b/>
          <w:bCs/>
        </w:rPr>
        <w:t>6.3 Disposal</w:t>
      </w:r>
    </w:p>
    <w:p w14:paraId="12ECAA95" w14:textId="77777777" w:rsidR="00596311" w:rsidRPr="00764C1F" w:rsidRDefault="00596311" w:rsidP="00596311">
      <w:pPr>
        <w:numPr>
          <w:ilvl w:val="0"/>
          <w:numId w:val="13"/>
        </w:numPr>
      </w:pPr>
      <w:r w:rsidRPr="00764C1F">
        <w:t>Scrapped parts are mutilated per FAA/EASA or other applicable regulations.</w:t>
      </w:r>
    </w:p>
    <w:p w14:paraId="1C58E302" w14:textId="3FF6FBBA" w:rsidR="00596311" w:rsidRPr="00764C1F" w:rsidRDefault="00596311" w:rsidP="00596311">
      <w:pPr>
        <w:numPr>
          <w:ilvl w:val="0"/>
          <w:numId w:val="13"/>
        </w:numPr>
      </w:pPr>
      <w:r w:rsidRPr="00764C1F">
        <w:t>Disposal must be documented with logs, QA signatures, and photos.</w:t>
      </w:r>
    </w:p>
    <w:p w14:paraId="19098524" w14:textId="77777777" w:rsidR="00596311" w:rsidRPr="00764C1F" w:rsidRDefault="00596311" w:rsidP="00596311">
      <w:pPr>
        <w:rPr>
          <w:b/>
          <w:bCs/>
        </w:rPr>
      </w:pPr>
      <w:r w:rsidRPr="00764C1F">
        <w:rPr>
          <w:b/>
          <w:bCs/>
        </w:rPr>
        <w:t>6.4 Scrap Return Option</w:t>
      </w:r>
    </w:p>
    <w:p w14:paraId="1D457F83" w14:textId="77777777" w:rsidR="00596311" w:rsidRPr="00764C1F" w:rsidRDefault="00596311" w:rsidP="00596311">
      <w:r w:rsidRPr="00764C1F">
        <w:t>Customers may request scrapped parts be returned at their expense.</w:t>
      </w:r>
    </w:p>
    <w:p w14:paraId="0E39785E" w14:textId="77777777" w:rsidR="00596311" w:rsidRPr="00764C1F" w:rsidRDefault="00596311" w:rsidP="00596311">
      <w:pPr>
        <w:rPr>
          <w:b/>
          <w:bCs/>
        </w:rPr>
      </w:pPr>
      <w:r w:rsidRPr="00764C1F">
        <w:rPr>
          <w:b/>
          <w:bCs/>
        </w:rPr>
        <w:t>6.5 Record Retention</w:t>
      </w:r>
    </w:p>
    <w:p w14:paraId="4DCB7554" w14:textId="77777777" w:rsidR="00596311" w:rsidRPr="00764C1F" w:rsidRDefault="00596311" w:rsidP="00596311">
      <w:r w:rsidRPr="00764C1F">
        <w:t xml:space="preserve">All records </w:t>
      </w:r>
      <w:proofErr w:type="gramStart"/>
      <w:r w:rsidRPr="00764C1F">
        <w:t>retained</w:t>
      </w:r>
      <w:proofErr w:type="gramEnd"/>
      <w:r w:rsidRPr="00764C1F">
        <w:t xml:space="preserve"> for at least </w:t>
      </w:r>
      <w:r w:rsidRPr="00764C1F">
        <w:rPr>
          <w:b/>
          <w:bCs/>
        </w:rPr>
        <w:t>two years</w:t>
      </w:r>
      <w:r w:rsidRPr="00764C1F">
        <w:t xml:space="preserve"> or per contract/regulatory requirements.</w:t>
      </w:r>
    </w:p>
    <w:p w14:paraId="116106CA" w14:textId="77777777" w:rsidR="00596311" w:rsidRPr="00764C1F" w:rsidRDefault="00000000" w:rsidP="00596311">
      <w:r>
        <w:pict w14:anchorId="5BC382C1">
          <v:rect id="_x0000_i1029" style="width:0;height:1.5pt" o:hralign="center" o:hrstd="t" o:hr="t" fillcolor="#a0a0a0" stroked="f"/>
        </w:pict>
      </w:r>
    </w:p>
    <w:p w14:paraId="524E1CBE" w14:textId="77777777" w:rsidR="00596311" w:rsidRPr="00764C1F" w:rsidRDefault="00596311" w:rsidP="00596311">
      <w:pPr>
        <w:rPr>
          <w:b/>
          <w:bCs/>
        </w:rPr>
      </w:pPr>
      <w:r w:rsidRPr="00764C1F">
        <w:rPr>
          <w:b/>
          <w:bCs/>
        </w:rPr>
        <w:t>7. Customer Acknowledgment</w:t>
      </w:r>
    </w:p>
    <w:p w14:paraId="19B1890E" w14:textId="77777777" w:rsidR="00596311" w:rsidRPr="00764C1F" w:rsidRDefault="00596311" w:rsidP="00596311">
      <w:r w:rsidRPr="00764C1F">
        <w:t xml:space="preserve">By submitting parts or requesting a quote, customers acknowledge and agree to this </w:t>
      </w:r>
      <w:r w:rsidRPr="00764C1F">
        <w:rPr>
          <w:b/>
          <w:bCs/>
        </w:rPr>
        <w:t>Sales Quote, Evaluation Fee, and Scrap Policy</w:t>
      </w:r>
      <w:r w:rsidRPr="00764C1F">
        <w:t>.</w:t>
      </w:r>
    </w:p>
    <w:p w14:paraId="659E821E" w14:textId="77777777" w:rsidR="00284141" w:rsidRDefault="00284141"/>
    <w:sectPr w:rsidR="002841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DB2D3" w14:textId="77777777" w:rsidR="005D5CFE" w:rsidRDefault="005D5CFE" w:rsidP="003D5595">
      <w:pPr>
        <w:spacing w:after="0" w:line="240" w:lineRule="auto"/>
      </w:pPr>
      <w:r>
        <w:separator/>
      </w:r>
    </w:p>
  </w:endnote>
  <w:endnote w:type="continuationSeparator" w:id="0">
    <w:p w14:paraId="1A8F18C6" w14:textId="77777777" w:rsidR="005D5CFE" w:rsidRDefault="005D5CFE" w:rsidP="003D5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45B82" w14:textId="77777777" w:rsidR="0052236B" w:rsidRDefault="005223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9477" w14:textId="5055EF0E" w:rsidR="0052236B" w:rsidRDefault="003D5595">
    <w:pPr>
      <w:pStyle w:val="Footer"/>
      <w:rPr>
        <w:b/>
        <w:bCs/>
        <w:sz w:val="20"/>
        <w:szCs w:val="20"/>
      </w:rPr>
    </w:pPr>
    <w:r w:rsidRPr="0052236B">
      <w:rPr>
        <w:b/>
        <w:bCs/>
        <w:sz w:val="20"/>
        <w:szCs w:val="20"/>
      </w:rPr>
      <w:t>WI 8.3.B</w:t>
    </w:r>
    <w:r w:rsidRPr="0052236B">
      <w:rPr>
        <w:b/>
        <w:bCs/>
        <w:sz w:val="20"/>
        <w:szCs w:val="20"/>
      </w:rPr>
      <w:ptab w:relativeTo="margin" w:alignment="center" w:leader="none"/>
    </w:r>
    <w:r w:rsidRPr="0052236B">
      <w:rPr>
        <w:b/>
        <w:bCs/>
        <w:sz w:val="20"/>
        <w:szCs w:val="20"/>
      </w:rPr>
      <w:t>Sales Quote, Evaluation Fee, and Scrap Policy (SOP)</w:t>
    </w:r>
    <w:r w:rsidR="00636D95">
      <w:rPr>
        <w:b/>
        <w:bCs/>
        <w:sz w:val="20"/>
        <w:szCs w:val="20"/>
      </w:rPr>
      <w:tab/>
    </w:r>
    <w:r w:rsidR="00636D95">
      <w:rPr>
        <w:b/>
        <w:bCs/>
        <w:sz w:val="20"/>
        <w:szCs w:val="20"/>
      </w:rPr>
      <w:t>Rev. NEW (22De</w:t>
    </w:r>
    <w:r w:rsidR="00636D95">
      <w:rPr>
        <w:b/>
        <w:bCs/>
        <w:sz w:val="20"/>
        <w:szCs w:val="20"/>
      </w:rPr>
      <w:t>c25)</w:t>
    </w:r>
  </w:p>
  <w:p w14:paraId="3BC286A2" w14:textId="05628591" w:rsidR="003D5595" w:rsidRPr="0052236B" w:rsidRDefault="0052236B">
    <w:pPr>
      <w:pStyle w:val="Footer"/>
      <w:rPr>
        <w:b/>
        <w:bCs/>
        <w:sz w:val="20"/>
        <w:szCs w:val="20"/>
      </w:rPr>
    </w:pPr>
    <w:r>
      <w:rPr>
        <w:b/>
        <w:bCs/>
        <w:sz w:val="20"/>
        <w:szCs w:val="20"/>
      </w:rPr>
      <w:tab/>
    </w:r>
    <w:r w:rsidR="003D5595" w:rsidRPr="0052236B">
      <w:rPr>
        <w:b/>
        <w:bCs/>
        <w:sz w:val="20"/>
        <w:szCs w:val="20"/>
      </w:rPr>
      <w:ptab w:relativeTo="margin" w:alignment="right" w:leader="none"/>
    </w:r>
  </w:p>
  <w:p w14:paraId="625346D4" w14:textId="692DCEE2" w:rsidR="003D5595" w:rsidRPr="0052236B" w:rsidRDefault="003D5595">
    <w:pPr>
      <w:pStyle w:val="Footer"/>
      <w:rPr>
        <w:b/>
        <w:bCs/>
        <w:sz w:val="20"/>
        <w:szCs w:val="20"/>
      </w:rPr>
    </w:pPr>
    <w:r w:rsidRPr="0052236B">
      <w:rPr>
        <w:b/>
        <w:bCs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78341" w14:textId="77777777" w:rsidR="0052236B" w:rsidRDefault="005223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E5156" w14:textId="77777777" w:rsidR="005D5CFE" w:rsidRDefault="005D5CFE" w:rsidP="003D5595">
      <w:pPr>
        <w:spacing w:after="0" w:line="240" w:lineRule="auto"/>
      </w:pPr>
      <w:r>
        <w:separator/>
      </w:r>
    </w:p>
  </w:footnote>
  <w:footnote w:type="continuationSeparator" w:id="0">
    <w:p w14:paraId="55BD7CB8" w14:textId="77777777" w:rsidR="005D5CFE" w:rsidRDefault="005D5CFE" w:rsidP="003D5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020A4" w14:textId="77777777" w:rsidR="0052236B" w:rsidRDefault="005223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037E3" w14:textId="14E06D1A" w:rsidR="003D5595" w:rsidRPr="0052236B" w:rsidRDefault="003D5595" w:rsidP="003D5595">
    <w:pPr>
      <w:pStyle w:val="Header"/>
      <w:rPr>
        <w:b/>
        <w:bCs/>
        <w:sz w:val="20"/>
        <w:szCs w:val="20"/>
      </w:rPr>
    </w:pPr>
    <w:r w:rsidRPr="0052236B">
      <w:rPr>
        <w:b/>
        <w:bCs/>
        <w:sz w:val="20"/>
        <w:szCs w:val="20"/>
      </w:rPr>
      <w:t>Evans Composites, Inc.</w:t>
    </w:r>
    <w:r w:rsidRPr="0052236B">
      <w:rPr>
        <w:b/>
        <w:bCs/>
        <w:sz w:val="20"/>
        <w:szCs w:val="20"/>
      </w:rPr>
      <w:ptab w:relativeTo="margin" w:alignment="center" w:leader="none"/>
    </w:r>
    <w:r w:rsidRPr="0052236B">
      <w:rPr>
        <w:b/>
        <w:bCs/>
        <w:sz w:val="20"/>
        <w:szCs w:val="20"/>
      </w:rPr>
      <w:t>Sales Quote, Evaluation Fee, and Scrap Policy</w:t>
    </w:r>
    <w:r w:rsidRPr="0052236B">
      <w:rPr>
        <w:b/>
        <w:bCs/>
        <w:sz w:val="20"/>
        <w:szCs w:val="20"/>
      </w:rPr>
      <w:ptab w:relativeTo="margin" w:alignment="right" w:leader="none"/>
    </w:r>
    <w:r w:rsidRPr="0052236B">
      <w:rPr>
        <w:b/>
        <w:bCs/>
        <w:sz w:val="20"/>
        <w:szCs w:val="20"/>
      </w:rPr>
      <w:t xml:space="preserve">WI Number </w:t>
    </w:r>
  </w:p>
  <w:p w14:paraId="51D175BD" w14:textId="10BA8C98" w:rsidR="003D5595" w:rsidRPr="0052236B" w:rsidRDefault="003D5595">
    <w:pPr>
      <w:pStyle w:val="Header"/>
      <w:rPr>
        <w:b/>
        <w:bCs/>
        <w:sz w:val="20"/>
        <w:szCs w:val="20"/>
      </w:rPr>
    </w:pPr>
    <w:r w:rsidRPr="0052236B">
      <w:rPr>
        <w:sz w:val="20"/>
        <w:szCs w:val="20"/>
      </w:rPr>
      <w:tab/>
    </w:r>
    <w:r w:rsidRPr="0052236B">
      <w:rPr>
        <w:sz w:val="20"/>
        <w:szCs w:val="20"/>
      </w:rPr>
      <w:tab/>
    </w:r>
    <w:r w:rsidRPr="0052236B">
      <w:rPr>
        <w:b/>
        <w:bCs/>
        <w:sz w:val="20"/>
        <w:szCs w:val="20"/>
      </w:rPr>
      <w:t>8.3.C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27E7" w14:textId="77777777" w:rsidR="0052236B" w:rsidRDefault="005223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4610"/>
    <w:multiLevelType w:val="multilevel"/>
    <w:tmpl w:val="4002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D41CD"/>
    <w:multiLevelType w:val="multilevel"/>
    <w:tmpl w:val="0F2C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A51288"/>
    <w:multiLevelType w:val="multilevel"/>
    <w:tmpl w:val="2794C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7C01C5"/>
    <w:multiLevelType w:val="multilevel"/>
    <w:tmpl w:val="2FBE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372542"/>
    <w:multiLevelType w:val="multilevel"/>
    <w:tmpl w:val="00D08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C83D75"/>
    <w:multiLevelType w:val="multilevel"/>
    <w:tmpl w:val="D0DC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B31236"/>
    <w:multiLevelType w:val="multilevel"/>
    <w:tmpl w:val="BBAEB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E31094"/>
    <w:multiLevelType w:val="multilevel"/>
    <w:tmpl w:val="7DC45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81611D"/>
    <w:multiLevelType w:val="multilevel"/>
    <w:tmpl w:val="AC049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C810BF"/>
    <w:multiLevelType w:val="multilevel"/>
    <w:tmpl w:val="4EC0A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CC4B3B"/>
    <w:multiLevelType w:val="multilevel"/>
    <w:tmpl w:val="CA32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922A4F"/>
    <w:multiLevelType w:val="multilevel"/>
    <w:tmpl w:val="824A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053F64"/>
    <w:multiLevelType w:val="multilevel"/>
    <w:tmpl w:val="549E8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3225066">
    <w:abstractNumId w:val="11"/>
  </w:num>
  <w:num w:numId="2" w16cid:durableId="1060980706">
    <w:abstractNumId w:val="0"/>
  </w:num>
  <w:num w:numId="3" w16cid:durableId="1451046979">
    <w:abstractNumId w:val="12"/>
  </w:num>
  <w:num w:numId="4" w16cid:durableId="493883110">
    <w:abstractNumId w:val="4"/>
  </w:num>
  <w:num w:numId="5" w16cid:durableId="1053694745">
    <w:abstractNumId w:val="5"/>
  </w:num>
  <w:num w:numId="6" w16cid:durableId="338310242">
    <w:abstractNumId w:val="9"/>
  </w:num>
  <w:num w:numId="7" w16cid:durableId="1489591275">
    <w:abstractNumId w:val="10"/>
  </w:num>
  <w:num w:numId="8" w16cid:durableId="1028601170">
    <w:abstractNumId w:val="1"/>
  </w:num>
  <w:num w:numId="9" w16cid:durableId="1389185370">
    <w:abstractNumId w:val="8"/>
  </w:num>
  <w:num w:numId="10" w16cid:durableId="1333072280">
    <w:abstractNumId w:val="6"/>
  </w:num>
  <w:num w:numId="11" w16cid:durableId="906844666">
    <w:abstractNumId w:val="2"/>
  </w:num>
  <w:num w:numId="12" w16cid:durableId="302006974">
    <w:abstractNumId w:val="3"/>
  </w:num>
  <w:num w:numId="13" w16cid:durableId="6240477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DB"/>
    <w:rsid w:val="001D31F4"/>
    <w:rsid w:val="00284141"/>
    <w:rsid w:val="003C16BC"/>
    <w:rsid w:val="003D5595"/>
    <w:rsid w:val="00440110"/>
    <w:rsid w:val="0052236B"/>
    <w:rsid w:val="00596311"/>
    <w:rsid w:val="005A0C1C"/>
    <w:rsid w:val="005D5CFE"/>
    <w:rsid w:val="00636D95"/>
    <w:rsid w:val="0068211C"/>
    <w:rsid w:val="00695D2B"/>
    <w:rsid w:val="007B70E5"/>
    <w:rsid w:val="008126D7"/>
    <w:rsid w:val="00814898"/>
    <w:rsid w:val="00815E34"/>
    <w:rsid w:val="00823D9B"/>
    <w:rsid w:val="00D50908"/>
    <w:rsid w:val="00D65225"/>
    <w:rsid w:val="00D845B5"/>
    <w:rsid w:val="00DF0A0D"/>
    <w:rsid w:val="00EE2257"/>
    <w:rsid w:val="00F254DB"/>
    <w:rsid w:val="00FA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6D0D8"/>
  <w15:chartTrackingRefBased/>
  <w15:docId w15:val="{79BF3C25-C8D9-43CC-AE44-D29815BF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311"/>
  </w:style>
  <w:style w:type="paragraph" w:styleId="Heading1">
    <w:name w:val="heading 1"/>
    <w:basedOn w:val="Normal"/>
    <w:next w:val="Normal"/>
    <w:link w:val="Heading1Char"/>
    <w:uiPriority w:val="9"/>
    <w:qFormat/>
    <w:rsid w:val="00F25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4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4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4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4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4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4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4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4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4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4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4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5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595"/>
  </w:style>
  <w:style w:type="paragraph" w:styleId="Footer">
    <w:name w:val="footer"/>
    <w:basedOn w:val="Normal"/>
    <w:link w:val="FooterChar"/>
    <w:uiPriority w:val="99"/>
    <w:unhideWhenUsed/>
    <w:rsid w:val="003D5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702</Words>
  <Characters>4044</Characters>
  <Application>Microsoft Office Word</Application>
  <DocSecurity>0</DocSecurity>
  <Lines>130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McDonald</dc:creator>
  <cp:keywords/>
  <dc:description/>
  <cp:lastModifiedBy>Charla Harrington</cp:lastModifiedBy>
  <cp:revision>2</cp:revision>
  <cp:lastPrinted>2025-12-02T15:20:00Z</cp:lastPrinted>
  <dcterms:created xsi:type="dcterms:W3CDTF">2025-12-22T15:24:00Z</dcterms:created>
  <dcterms:modified xsi:type="dcterms:W3CDTF">2025-12-22T15:24:00Z</dcterms:modified>
</cp:coreProperties>
</file>